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C04D36C"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033833">
        <w:rPr>
          <w:rFonts w:cs="Arial"/>
          <w:bCs/>
          <w:noProof w:val="0"/>
          <w:sz w:val="24"/>
          <w:szCs w:val="24"/>
        </w:rPr>
        <w:t>3</w:t>
      </w:r>
      <w:r w:rsidR="005435A7">
        <w:rPr>
          <w:rFonts w:cs="Arial"/>
          <w:bCs/>
          <w:noProof w:val="0"/>
          <w:sz w:val="24"/>
          <w:szCs w:val="24"/>
        </w:rPr>
        <w:t>-bis</w:t>
      </w:r>
      <w:r w:rsidR="002C1220" w:rsidRPr="000665EA">
        <w:rPr>
          <w:rFonts w:cs="Arial"/>
          <w:bCs/>
          <w:noProof w:val="0"/>
          <w:sz w:val="24"/>
          <w:szCs w:val="24"/>
        </w:rPr>
        <w:tab/>
      </w:r>
      <w:r w:rsidR="006719B4" w:rsidRPr="006719B4">
        <w:rPr>
          <w:rFonts w:cs="Arial"/>
          <w:bCs/>
          <w:noProof w:val="0"/>
          <w:sz w:val="24"/>
          <w:szCs w:val="24"/>
        </w:rPr>
        <w:t>R3-241559</w:t>
      </w:r>
    </w:p>
    <w:bookmarkEnd w:id="0"/>
    <w:p w14:paraId="5669B020" w14:textId="1478FAA2" w:rsidR="004C654E" w:rsidRPr="000665EA" w:rsidRDefault="00AA2C0D" w:rsidP="004C654E">
      <w:pPr>
        <w:pStyle w:val="Header"/>
        <w:tabs>
          <w:tab w:val="left" w:pos="2410"/>
        </w:tabs>
        <w:rPr>
          <w:rFonts w:eastAsia="MS Mincho" w:cs="Arial"/>
          <w:sz w:val="24"/>
          <w:szCs w:val="24"/>
        </w:rPr>
      </w:pPr>
      <w:r>
        <w:rPr>
          <w:rFonts w:eastAsia="MS Mincho" w:cs="Arial"/>
          <w:sz w:val="24"/>
          <w:szCs w:val="24"/>
        </w:rPr>
        <w:t>Changsha, China</w:t>
      </w:r>
      <w:r w:rsidR="00FC5FE8" w:rsidRPr="000665EA">
        <w:rPr>
          <w:rFonts w:eastAsia="MS Mincho" w:cs="Arial"/>
          <w:sz w:val="24"/>
          <w:szCs w:val="24"/>
        </w:rPr>
        <w:t xml:space="preserve">, </w:t>
      </w:r>
      <w:r>
        <w:rPr>
          <w:rFonts w:eastAsia="MS Mincho" w:cs="Arial"/>
          <w:sz w:val="24"/>
          <w:szCs w:val="24"/>
        </w:rPr>
        <w:t>15 – 19 April</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5CC5514A"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6719B4">
        <w:rPr>
          <w:rFonts w:cs="Arial"/>
          <w:b/>
          <w:bCs/>
          <w:sz w:val="24"/>
        </w:rPr>
        <w:t>10.3.1</w:t>
      </w:r>
    </w:p>
    <w:p w14:paraId="02505283" w14:textId="58F198F3"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7AB3918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5E1BAE">
        <w:rPr>
          <w:rFonts w:ascii="Arial" w:hAnsi="Arial" w:cs="Arial"/>
          <w:b/>
          <w:bCs/>
          <w:sz w:val="24"/>
        </w:rPr>
        <w:t>Considerations on SON enhancements for NTN deployments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4E68AE5E" w:rsidR="005E3D0F" w:rsidRDefault="006A7A85" w:rsidP="008572DC">
      <w:bookmarkStart w:id="1" w:name="_Toc474247438"/>
      <w:r>
        <w:t xml:space="preserve">At RAN plenary meeting #102, a Rel.19 WI was approved for further SON development. </w:t>
      </w:r>
      <w:r w:rsidR="00C53297">
        <w:t>Among others, it requires RAN3:</w:t>
      </w:r>
    </w:p>
    <w:p w14:paraId="437637D9" w14:textId="42C412A8" w:rsidR="00C53297" w:rsidRDefault="00C53297" w:rsidP="00C53297">
      <w:pPr>
        <w:pStyle w:val="ListParagraph"/>
        <w:numPr>
          <w:ilvl w:val="0"/>
          <w:numId w:val="40"/>
        </w:numPr>
      </w:pPr>
      <w:r>
        <w:t xml:space="preserve"> Support of SON/MDT enhancements for [RAN3, RAN2]:</w:t>
      </w:r>
    </w:p>
    <w:p w14:paraId="2949461E" w14:textId="0920501E" w:rsidR="00C53297" w:rsidRDefault="00C53297" w:rsidP="00C53297">
      <w:pPr>
        <w:pStyle w:val="ListParagraph"/>
        <w:numPr>
          <w:ilvl w:val="0"/>
          <w:numId w:val="41"/>
        </w:numPr>
      </w:pPr>
      <w:r>
        <w:t>Intra-NTN mobility</w:t>
      </w:r>
    </w:p>
    <w:p w14:paraId="1DC030B9" w14:textId="799CEF7C" w:rsidR="00C53297" w:rsidRDefault="00C53297" w:rsidP="00C53297">
      <w:pPr>
        <w:pStyle w:val="ListParagraph"/>
        <w:numPr>
          <w:ilvl w:val="0"/>
          <w:numId w:val="41"/>
        </w:numPr>
      </w:pPr>
      <w:r>
        <w:t>Network Slicing</w:t>
      </w:r>
    </w:p>
    <w:p w14:paraId="0AA69B0E" w14:textId="330EA74B" w:rsidR="00C53297" w:rsidRPr="000665EA" w:rsidRDefault="00C53297" w:rsidP="008572DC">
      <w:r>
        <w:t>In this paper we consider possible enhancements for the NTN networks.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974E2AB" w14:textId="4AC01493" w:rsidR="009475BC" w:rsidRDefault="009475BC" w:rsidP="009475BC">
      <w:pPr>
        <w:pStyle w:val="Heading2"/>
      </w:pPr>
      <w:r>
        <w:t>2.1</w:t>
      </w:r>
      <w:r>
        <w:tab/>
        <w:t>NTN networks</w:t>
      </w:r>
    </w:p>
    <w:p w14:paraId="57039105" w14:textId="35FB6C42" w:rsidR="008559D6" w:rsidRDefault="009475BC" w:rsidP="008559D6">
      <w:r w:rsidRPr="009475BC">
        <w:t>The evolution of telecommunication technologies, the ever-increasing demand for new services, and the exponential growth of smart devices fuel the development of Non-Terrestrial Networks (NTNs) as an effective solution to complement terrestrial networks in providing services over uncovered or under-served geographical areas. As defined by the 3rd Generation Partnership Project (3GPP) in [1], an NTN is a network where spaceborne (i.e., GEO, MEO, LEO) or airborne (i.e., UAS and HAPS) vehicles act either as a relay node or as a base station, thus distinguishing transparent- and regenerative- satellite architectures. The uniqueness of NTNs is the capability to offer wide area coverage by providing connectivity over areas that are expensive or difficult to cover with terrestrial networks (i.e., rural areas, vessels, airplanes). Therefore, the NTN represents a coverage extension for the terrestrial network in a world market where customer needs are radically changing. Indeed, the demand for different services is steadily growing due to the ever-increasing number of devices connected to the Internet.</w:t>
      </w:r>
    </w:p>
    <w:p w14:paraId="4B3099C6" w14:textId="77777777" w:rsidR="009475BC" w:rsidRDefault="009475BC" w:rsidP="009475BC">
      <w:r>
        <w:t xml:space="preserve">In the Next-Generation Radio Access Network (NG-RAN), new interfaces and protocols are added to support NTNs. An NTN platform may act as space mirror or gNB in the sky. Consequently, two satellite-based NG-RAN architectures are distinguished: transparent and regenerative. In the latter case, the NTN platform may implement partial or full gNB functionalities depending on whether the gNB functional split (i.e., the gNB consists of central and distributed units is considered or not. </w:t>
      </w:r>
    </w:p>
    <w:p w14:paraId="5C7D31F5" w14:textId="77777777" w:rsidR="009475BC" w:rsidRDefault="009475BC" w:rsidP="009475BC">
      <w:r>
        <w:t>Fig.1 shows the transparent satellite-based architecture where the NTN platform relays the NR signal from the NTN gateway to the NTN terminal and vice versa. The Satellite Radio Interface (SRI) on the feeder link is the same as the radio interface on the service link (i.e., NR-</w:t>
      </w:r>
      <w:proofErr w:type="spellStart"/>
      <w:r>
        <w:t>Uu</w:t>
      </w:r>
      <w:proofErr w:type="spellEnd"/>
      <w:r>
        <w:t>). The NTN gateway can forward the NR signal of the NR-</w:t>
      </w:r>
      <w:proofErr w:type="spellStart"/>
      <w:r>
        <w:t>Uu</w:t>
      </w:r>
      <w:proofErr w:type="spellEnd"/>
      <w:r>
        <w:t xml:space="preserve"> interface to the gNB. One or more transparent satellites may be connected to the same gNB on the ground.</w:t>
      </w:r>
    </w:p>
    <w:p w14:paraId="49F276DE" w14:textId="77777777" w:rsidR="009475BC" w:rsidRDefault="009475BC" w:rsidP="009475BC"/>
    <w:p w14:paraId="75C70DF1" w14:textId="77777777" w:rsidR="009475BC" w:rsidRDefault="009475BC" w:rsidP="009475BC">
      <w:pPr>
        <w:jc w:val="center"/>
      </w:pPr>
      <w:r w:rsidRPr="00CA50B1">
        <w:rPr>
          <w:noProof/>
        </w:rPr>
        <w:lastRenderedPageBreak/>
        <w:drawing>
          <wp:inline distT="0" distB="0" distL="0" distR="0" wp14:anchorId="389B2006" wp14:editId="32284C04">
            <wp:extent cx="3422650" cy="1998460"/>
            <wp:effectExtent l="0" t="0" r="6350" b="1905"/>
            <wp:docPr id="527911084" name="Picture 52791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13" cy="2002175"/>
                    </a:xfrm>
                    <a:prstGeom prst="rect">
                      <a:avLst/>
                    </a:prstGeom>
                    <a:noFill/>
                    <a:ln>
                      <a:noFill/>
                    </a:ln>
                  </pic:spPr>
                </pic:pic>
              </a:graphicData>
            </a:graphic>
          </wp:inline>
        </w:drawing>
      </w:r>
    </w:p>
    <w:p w14:paraId="706EDAF2" w14:textId="77777777" w:rsidR="009475BC" w:rsidRDefault="009475BC" w:rsidP="009475BC">
      <w:pPr>
        <w:jc w:val="center"/>
      </w:pPr>
      <w:r>
        <w:t>Fig. 1</w:t>
      </w:r>
    </w:p>
    <w:p w14:paraId="67D2749E" w14:textId="77777777" w:rsidR="009475BC" w:rsidRDefault="009475BC" w:rsidP="009475BC">
      <w:r>
        <w:t>Fig. 2 shows the regenerative satellite-based architecture where the NTN platform has onboard processing capabilities to generate/receive the NR signal to/from the NTN terminal. The NR-</w:t>
      </w:r>
      <w:proofErr w:type="spellStart"/>
      <w:r>
        <w:t>Uu</w:t>
      </w:r>
      <w:proofErr w:type="spellEnd"/>
      <w:r>
        <w:t xml:space="preserve"> interface is on the service link between the NTN terminal and the NTN platform. The radio interface between the NTN platform and the 5G Core Network (5GC) is NG that is over SRI in the air path between the NTN platform and the NTN-gateway. Inter-Satellite Links (ISL) are transport links between NTN platforms.</w:t>
      </w:r>
    </w:p>
    <w:p w14:paraId="0FD0B13C" w14:textId="77777777" w:rsidR="009475BC" w:rsidRDefault="009475BC" w:rsidP="009475BC">
      <w:pPr>
        <w:jc w:val="center"/>
      </w:pPr>
      <w:r w:rsidRPr="00616A23">
        <w:rPr>
          <w:noProof/>
        </w:rPr>
        <w:drawing>
          <wp:inline distT="0" distB="0" distL="0" distR="0" wp14:anchorId="4EF8F405" wp14:editId="3FB630FE">
            <wp:extent cx="3511550" cy="2071735"/>
            <wp:effectExtent l="0" t="0" r="0" b="5080"/>
            <wp:docPr id="2034097145" name="Picture 2034097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4344" cy="2079283"/>
                    </a:xfrm>
                    <a:prstGeom prst="rect">
                      <a:avLst/>
                    </a:prstGeom>
                    <a:noFill/>
                    <a:ln>
                      <a:noFill/>
                    </a:ln>
                  </pic:spPr>
                </pic:pic>
              </a:graphicData>
            </a:graphic>
          </wp:inline>
        </w:drawing>
      </w:r>
    </w:p>
    <w:p w14:paraId="542C0A7C" w14:textId="77777777" w:rsidR="009475BC" w:rsidRDefault="009475BC" w:rsidP="009475BC">
      <w:pPr>
        <w:jc w:val="center"/>
      </w:pPr>
      <w:r>
        <w:t>Fig. 2</w:t>
      </w:r>
    </w:p>
    <w:p w14:paraId="3B157C24" w14:textId="612EDBCD" w:rsidR="009475BC" w:rsidRDefault="009475BC" w:rsidP="009475BC">
      <w:pPr>
        <w:pStyle w:val="Heading2"/>
      </w:pPr>
      <w:r>
        <w:t>2.2</w:t>
      </w:r>
      <w:r>
        <w:tab/>
        <w:t>SON applications</w:t>
      </w:r>
    </w:p>
    <w:p w14:paraId="0092708C" w14:textId="1F10960B" w:rsidR="000D104A" w:rsidRDefault="000D104A" w:rsidP="000D104A">
      <w:r>
        <w:t>At the first step, one may note the way the objective is defined in the WID: it declares MRO enhancements may be developed for “intra-NTN mobility”. Thus, the plenary explicitly declares that NTN-TN mobility shall not be considered in the WI.</w:t>
      </w:r>
    </w:p>
    <w:p w14:paraId="0CF44922" w14:textId="21542055" w:rsidR="000D104A" w:rsidRPr="000D104A" w:rsidRDefault="000D104A" w:rsidP="000D104A">
      <w:pPr>
        <w:rPr>
          <w:b/>
          <w:bCs/>
        </w:rPr>
      </w:pPr>
      <w:r w:rsidRPr="000D104A">
        <w:rPr>
          <w:b/>
          <w:bCs/>
        </w:rPr>
        <w:t xml:space="preserve">Proposal </w:t>
      </w:r>
      <w:r>
        <w:rPr>
          <w:b/>
          <w:bCs/>
        </w:rPr>
        <w:t>1</w:t>
      </w:r>
      <w:r w:rsidRPr="000D104A">
        <w:rPr>
          <w:b/>
          <w:bCs/>
        </w:rPr>
        <w:t>: RAN3 observes the limitation of the WID and works on solutions for intra-NTN mobility only.</w:t>
      </w:r>
    </w:p>
    <w:p w14:paraId="600E596A" w14:textId="4A54CA14" w:rsidR="009475BC" w:rsidRDefault="009475BC" w:rsidP="008559D6">
      <w:r>
        <w:t>SON solutions in NR networks focus on two key groups of solutions:</w:t>
      </w:r>
    </w:p>
    <w:p w14:paraId="7555D122" w14:textId="56851131" w:rsidR="009475BC" w:rsidRDefault="009475BC" w:rsidP="009475BC">
      <w:pPr>
        <w:pStyle w:val="ListParagraph"/>
        <w:numPr>
          <w:ilvl w:val="0"/>
          <w:numId w:val="42"/>
        </w:numPr>
      </w:pPr>
      <w:r>
        <w:t xml:space="preserve">MRO, which helps address suboptimal mobility configurations that lead or may lead soon to </w:t>
      </w:r>
      <w:proofErr w:type="gramStart"/>
      <w:r>
        <w:t>failures;</w:t>
      </w:r>
      <w:proofErr w:type="gramEnd"/>
    </w:p>
    <w:p w14:paraId="4EDC27D0" w14:textId="5F3D91A8" w:rsidR="009475BC" w:rsidRDefault="009475BC" w:rsidP="009475BC">
      <w:pPr>
        <w:pStyle w:val="ListParagraph"/>
        <w:numPr>
          <w:ilvl w:val="0"/>
          <w:numId w:val="42"/>
        </w:numPr>
      </w:pPr>
      <w:r>
        <w:t xml:space="preserve">MLB, which helps deal with congestions by enabling load distribution among </w:t>
      </w:r>
      <w:proofErr w:type="spellStart"/>
      <w:r>
        <w:t>neighbour</w:t>
      </w:r>
      <w:proofErr w:type="spellEnd"/>
      <w:r>
        <w:t xml:space="preserve"> cells.</w:t>
      </w:r>
    </w:p>
    <w:p w14:paraId="6B1C4BDC" w14:textId="57E19A6A" w:rsidR="009475BC" w:rsidRDefault="009475BC" w:rsidP="008559D6">
      <w:r>
        <w:t xml:space="preserve">In classic networks, MRO monitors executed handovers and enables reporting failed or </w:t>
      </w:r>
      <w:proofErr w:type="gramStart"/>
      <w:r>
        <w:t>nearly-failed</w:t>
      </w:r>
      <w:proofErr w:type="gramEnd"/>
      <w:r>
        <w:t xml:space="preserve"> executions to the source nodes. Those, after accumulating necessary statistics, can possibly apply necessary action. MRO also helps filtering out failures that are not caused by the mobility settings and thus avoid unnecessary corrections. This mechanism </w:t>
      </w:r>
      <w:r w:rsidR="000912E5">
        <w:t xml:space="preserve">has always </w:t>
      </w:r>
      <w:proofErr w:type="gramStart"/>
      <w:r w:rsidR="000912E5">
        <w:t>been based on the assumption</w:t>
      </w:r>
      <w:proofErr w:type="gramEnd"/>
      <w:r w:rsidR="000912E5">
        <w:t xml:space="preserve"> that the access network is stable: cells are provided from a </w:t>
      </w:r>
      <w:r w:rsidR="000D104A">
        <w:t>fixed</w:t>
      </w:r>
      <w:r w:rsidR="000912E5">
        <w:t xml:space="preserve"> locations and can collect information from mobile users that roam over their serving areas</w:t>
      </w:r>
      <w:r w:rsidR="000D104A">
        <w:t xml:space="preserve"> as long as it is needed</w:t>
      </w:r>
      <w:r w:rsidR="000912E5">
        <w:t xml:space="preserve"> (the only considered dynamism was related to relatively small cell border changes or cell switching off).</w:t>
      </w:r>
    </w:p>
    <w:p w14:paraId="3A7D46C6" w14:textId="7F6BEA40" w:rsidR="000912E5" w:rsidRDefault="000912E5" w:rsidP="008559D6">
      <w:r>
        <w:t>In case of NTN, the cell moves in a perfectly predictable manner while UE mobility</w:t>
      </w:r>
      <w:r w:rsidR="2EE30E94">
        <w:t xml:space="preserve"> </w:t>
      </w:r>
      <w:r w:rsidR="000D104A">
        <w:t>can be considered</w:t>
      </w:r>
      <w:r>
        <w:t xml:space="preserve"> negligible. Handovers are therefore based not on radio signal reporting but rather on timing. The latter does not mean a handover cannot </w:t>
      </w:r>
      <w:proofErr w:type="gramStart"/>
      <w:r>
        <w:t>fail:</w:t>
      </w:r>
      <w:proofErr w:type="gramEnd"/>
      <w:r>
        <w:t xml:space="preserve"> due to temporary conditions (e.g. clouds, rain) radio propagation may change and thus timed handover may </w:t>
      </w:r>
      <w:r>
        <w:lastRenderedPageBreak/>
        <w:t>fail. This may require MRO to adjust the condition to prepare and trigger inter-satellite handover.</w:t>
      </w:r>
      <w:r w:rsidR="00AA729C">
        <w:t xml:space="preserve"> The existing MRO mechanism may not be sufficient, either, in case of moving cells.</w:t>
      </w:r>
    </w:p>
    <w:p w14:paraId="22780528" w14:textId="51E9C345" w:rsidR="000912E5" w:rsidRPr="000D104A" w:rsidRDefault="000912E5" w:rsidP="008559D6">
      <w:pPr>
        <w:rPr>
          <w:b/>
          <w:bCs/>
        </w:rPr>
      </w:pPr>
      <w:r w:rsidRPr="3FECF551">
        <w:rPr>
          <w:b/>
          <w:bCs/>
        </w:rPr>
        <w:t xml:space="preserve">Proposal </w:t>
      </w:r>
      <w:r w:rsidR="000D104A" w:rsidRPr="3FECF551">
        <w:rPr>
          <w:b/>
          <w:bCs/>
        </w:rPr>
        <w:t>2</w:t>
      </w:r>
      <w:r w:rsidRPr="3FECF551">
        <w:rPr>
          <w:b/>
          <w:bCs/>
        </w:rPr>
        <w:t xml:space="preserve">: MRO for </w:t>
      </w:r>
      <w:r w:rsidR="000D104A" w:rsidRPr="3FECF551">
        <w:rPr>
          <w:b/>
          <w:bCs/>
        </w:rPr>
        <w:t>intra-</w:t>
      </w:r>
      <w:r w:rsidRPr="3FECF551">
        <w:rPr>
          <w:b/>
          <w:bCs/>
        </w:rPr>
        <w:t xml:space="preserve">NTN </w:t>
      </w:r>
      <w:r w:rsidR="000D104A" w:rsidRPr="3FECF551">
        <w:rPr>
          <w:b/>
          <w:bCs/>
        </w:rPr>
        <w:t xml:space="preserve">mobility </w:t>
      </w:r>
      <w:r w:rsidRPr="3FECF551">
        <w:rPr>
          <w:b/>
          <w:bCs/>
        </w:rPr>
        <w:t xml:space="preserve">shall be discussed to enable </w:t>
      </w:r>
      <w:r w:rsidR="000D104A" w:rsidRPr="3FECF551">
        <w:rPr>
          <w:b/>
          <w:bCs/>
        </w:rPr>
        <w:t xml:space="preserve">handling of local </w:t>
      </w:r>
      <w:r w:rsidR="00062E91">
        <w:rPr>
          <w:b/>
          <w:bCs/>
        </w:rPr>
        <w:t xml:space="preserve">and temporary </w:t>
      </w:r>
      <w:r w:rsidR="000D104A" w:rsidRPr="3FECF551">
        <w:rPr>
          <w:b/>
          <w:bCs/>
        </w:rPr>
        <w:t>propagation changes</w:t>
      </w:r>
      <w:r w:rsidRPr="3FECF551">
        <w:rPr>
          <w:b/>
          <w:bCs/>
        </w:rPr>
        <w:t xml:space="preserve"> (e.g. </w:t>
      </w:r>
      <w:r w:rsidR="009152D4" w:rsidRPr="3FECF551">
        <w:rPr>
          <w:b/>
          <w:bCs/>
        </w:rPr>
        <w:t xml:space="preserve">due to </w:t>
      </w:r>
      <w:r w:rsidRPr="3FECF551">
        <w:rPr>
          <w:b/>
          <w:bCs/>
        </w:rPr>
        <w:t>clouds, rain etc.).</w:t>
      </w:r>
    </w:p>
    <w:p w14:paraId="4129E7F0" w14:textId="23C849D8" w:rsidR="002E4902" w:rsidRDefault="00AA729C" w:rsidP="008559D6">
      <w:r>
        <w:t xml:space="preserve">Applicability of MLB to NTN deployment is more questionable: in theory, an NTN cell may become overloaded and seek support from its neighbours. This scenario seems, however, very unlikely: NTN cells are supposed to offer auxiliary coverage and thus chances that they </w:t>
      </w:r>
      <w:proofErr w:type="gramStart"/>
      <w:r>
        <w:t>have to</w:t>
      </w:r>
      <w:proofErr w:type="gramEnd"/>
      <w:r>
        <w:t xml:space="preserve"> handle large populations of UEs are very low</w:t>
      </w:r>
      <w:r w:rsidR="002E4902">
        <w:t>.</w:t>
      </w:r>
      <w:r>
        <w:t xml:space="preserve"> Also, </w:t>
      </w:r>
      <w:r w:rsidR="002E4902">
        <w:t>the situation where such large population is distributed over big enough area, so that intra-NTN load balancing is possible (while the TN cannot be used), seems very improbable.</w:t>
      </w:r>
    </w:p>
    <w:p w14:paraId="4BC389BE" w14:textId="5B95AEF8" w:rsidR="00062E91" w:rsidRDefault="002E4902" w:rsidP="008559D6">
      <w:r>
        <w:t>On the other hand, even if such scenario does occur, the existing mechanism is still in place</w:t>
      </w:r>
      <w:r w:rsidR="00A21FD9">
        <w:t xml:space="preserve">: </w:t>
      </w:r>
      <w:r>
        <w:t xml:space="preserve">NTN </w:t>
      </w:r>
      <w:r w:rsidR="00A21FD9">
        <w:t xml:space="preserve">cells </w:t>
      </w:r>
      <w:r>
        <w:t xml:space="preserve">can </w:t>
      </w:r>
      <w:r w:rsidR="00A21FD9">
        <w:t>exchange load information and possibly delay or accelerate HO decisions to move fraction of UEs to less loaded cells.</w:t>
      </w:r>
    </w:p>
    <w:p w14:paraId="5887D0BC" w14:textId="613FCC95" w:rsidR="00A21FD9" w:rsidRPr="002E4902" w:rsidRDefault="00A21FD9" w:rsidP="008559D6">
      <w:pPr>
        <w:rPr>
          <w:b/>
          <w:bCs/>
        </w:rPr>
      </w:pPr>
      <w:r w:rsidRPr="002E4902">
        <w:rPr>
          <w:b/>
          <w:bCs/>
        </w:rPr>
        <w:t xml:space="preserve">Proposal </w:t>
      </w:r>
      <w:r w:rsidR="002E4902">
        <w:rPr>
          <w:b/>
          <w:bCs/>
        </w:rPr>
        <w:t>3</w:t>
      </w:r>
      <w:r w:rsidRPr="002E4902">
        <w:rPr>
          <w:b/>
          <w:bCs/>
        </w:rPr>
        <w:t xml:space="preserve">: </w:t>
      </w:r>
      <w:r w:rsidR="00062E91">
        <w:rPr>
          <w:b/>
          <w:bCs/>
        </w:rPr>
        <w:t xml:space="preserve">SON </w:t>
      </w:r>
      <w:r w:rsidRPr="002E4902">
        <w:rPr>
          <w:b/>
          <w:bCs/>
        </w:rPr>
        <w:t xml:space="preserve">MLB </w:t>
      </w:r>
      <w:r w:rsidR="00062E91">
        <w:rPr>
          <w:b/>
          <w:bCs/>
        </w:rPr>
        <w:t xml:space="preserve">mechanism for active UEs </w:t>
      </w:r>
      <w:r w:rsidRPr="002E4902">
        <w:rPr>
          <w:b/>
          <w:bCs/>
        </w:rPr>
        <w:t>may not be needed in case of NTN deployment</w:t>
      </w:r>
      <w:r w:rsidR="00062E91">
        <w:rPr>
          <w:b/>
          <w:bCs/>
        </w:rPr>
        <w:t>s. RAN3 shall review scenarios that may be specific to NTN deployments only.</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61399629" w:rsidR="002F4257" w:rsidRDefault="002F4257" w:rsidP="00D20DF3">
      <w:pPr>
        <w:jc w:val="both"/>
        <w:rPr>
          <w:bCs/>
        </w:rPr>
      </w:pPr>
      <w:r>
        <w:rPr>
          <w:bCs/>
        </w:rPr>
        <w:t xml:space="preserve">In this paper, </w:t>
      </w:r>
      <w:r w:rsidR="006719B4">
        <w:rPr>
          <w:bCs/>
        </w:rPr>
        <w:t>we discuss the scope of the work that may be needed to enable SON features for NTN deployments. We propose what follows:</w:t>
      </w:r>
    </w:p>
    <w:p w14:paraId="032D6A8D" w14:textId="77777777" w:rsidR="006719B4" w:rsidRPr="006719B4" w:rsidRDefault="006719B4" w:rsidP="006719B4">
      <w:pPr>
        <w:jc w:val="both"/>
        <w:rPr>
          <w:b/>
        </w:rPr>
      </w:pPr>
      <w:r w:rsidRPr="006719B4">
        <w:rPr>
          <w:b/>
        </w:rPr>
        <w:t>Proposal 1: RAN3 observes the limitation of the WID and works on solutions for intra-NTN mobility only.</w:t>
      </w:r>
    </w:p>
    <w:p w14:paraId="005D4A0A" w14:textId="77777777" w:rsidR="006719B4" w:rsidRPr="006719B4" w:rsidRDefault="006719B4" w:rsidP="006719B4">
      <w:pPr>
        <w:jc w:val="both"/>
        <w:rPr>
          <w:b/>
        </w:rPr>
      </w:pPr>
      <w:r w:rsidRPr="006719B4">
        <w:rPr>
          <w:b/>
        </w:rPr>
        <w:t>Proposal 2: MRO for intra-NTN mobility shall be discussed to enable handling of local and temporary propagation changes (e.g. due to clouds, rain etc.).</w:t>
      </w:r>
    </w:p>
    <w:p w14:paraId="21A337AF" w14:textId="15EE188F" w:rsidR="002F4257" w:rsidRPr="006719B4" w:rsidRDefault="006719B4" w:rsidP="006719B4">
      <w:pPr>
        <w:jc w:val="both"/>
        <w:rPr>
          <w:b/>
        </w:rPr>
      </w:pPr>
      <w:r w:rsidRPr="006719B4">
        <w:rPr>
          <w:b/>
        </w:rPr>
        <w:t>Proposal 3: SON MLB mechanism for active UEs may not be needed in case of NTN deployments. RAN3 shall review scenarios that may be specific to NTN deployments only.</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E3DB3" w14:textId="77777777" w:rsidR="000B29F3" w:rsidRDefault="000B29F3">
      <w:r>
        <w:separator/>
      </w:r>
    </w:p>
  </w:endnote>
  <w:endnote w:type="continuationSeparator" w:id="0">
    <w:p w14:paraId="3346478F" w14:textId="77777777" w:rsidR="000B29F3" w:rsidRDefault="000B29F3">
      <w:r>
        <w:continuationSeparator/>
      </w:r>
    </w:p>
  </w:endnote>
  <w:endnote w:type="continuationNotice" w:id="1">
    <w:p w14:paraId="2B14FD4E" w14:textId="77777777" w:rsidR="000B29F3" w:rsidRDefault="000B2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D7F95" w14:textId="77777777" w:rsidR="000B29F3" w:rsidRDefault="000B29F3">
      <w:r>
        <w:separator/>
      </w:r>
    </w:p>
  </w:footnote>
  <w:footnote w:type="continuationSeparator" w:id="0">
    <w:p w14:paraId="70379DC9" w14:textId="77777777" w:rsidR="000B29F3" w:rsidRDefault="000B29F3">
      <w:r>
        <w:continuationSeparator/>
      </w:r>
    </w:p>
  </w:footnote>
  <w:footnote w:type="continuationNotice" w:id="1">
    <w:p w14:paraId="2A0EA10C" w14:textId="77777777" w:rsidR="000B29F3" w:rsidRDefault="000B29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E839D9"/>
    <w:multiLevelType w:val="hybridMultilevel"/>
    <w:tmpl w:val="2BF82E36"/>
    <w:lvl w:ilvl="0" w:tplc="9C641CCC">
      <w:start w:val="1"/>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3FA0611"/>
    <w:multiLevelType w:val="hybridMultilevel"/>
    <w:tmpl w:val="4AD8A5E2"/>
    <w:lvl w:ilvl="0" w:tplc="EE80396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DF1FBD"/>
    <w:multiLevelType w:val="hybridMultilevel"/>
    <w:tmpl w:val="806C3350"/>
    <w:lvl w:ilvl="0" w:tplc="9C641CCC">
      <w:start w:val="1"/>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2"/>
  </w:num>
  <w:num w:numId="2" w16cid:durableId="1325889781">
    <w:abstractNumId w:val="32"/>
  </w:num>
  <w:num w:numId="3" w16cid:durableId="1574008939">
    <w:abstractNumId w:val="17"/>
  </w:num>
  <w:num w:numId="4" w16cid:durableId="1234775468">
    <w:abstractNumId w:val="9"/>
  </w:num>
  <w:num w:numId="5" w16cid:durableId="1444763253">
    <w:abstractNumId w:val="10"/>
  </w:num>
  <w:num w:numId="6" w16cid:durableId="1469472348">
    <w:abstractNumId w:val="40"/>
  </w:num>
  <w:num w:numId="7" w16cid:durableId="123275557">
    <w:abstractNumId w:val="27"/>
  </w:num>
  <w:num w:numId="8" w16cid:durableId="1128008256">
    <w:abstractNumId w:val="18"/>
  </w:num>
  <w:num w:numId="9" w16cid:durableId="1423840149">
    <w:abstractNumId w:val="39"/>
  </w:num>
  <w:num w:numId="10" w16cid:durableId="1824349208">
    <w:abstractNumId w:val="26"/>
  </w:num>
  <w:num w:numId="11" w16cid:durableId="1397623785">
    <w:abstractNumId w:val="15"/>
  </w:num>
  <w:num w:numId="12" w16cid:durableId="1929000652">
    <w:abstractNumId w:val="34"/>
  </w:num>
  <w:num w:numId="13" w16cid:durableId="899681234">
    <w:abstractNumId w:val="35"/>
  </w:num>
  <w:num w:numId="14" w16cid:durableId="1654260041">
    <w:abstractNumId w:val="33"/>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1"/>
  </w:num>
  <w:num w:numId="25" w16cid:durableId="692803473">
    <w:abstractNumId w:val="29"/>
  </w:num>
  <w:num w:numId="26" w16cid:durableId="265969315">
    <w:abstractNumId w:val="19"/>
  </w:num>
  <w:num w:numId="27" w16cid:durableId="2116705214">
    <w:abstractNumId w:val="23"/>
  </w:num>
  <w:num w:numId="28" w16cid:durableId="1051540479">
    <w:abstractNumId w:val="37"/>
  </w:num>
  <w:num w:numId="29" w16cid:durableId="838499363">
    <w:abstractNumId w:val="38"/>
  </w:num>
  <w:num w:numId="30" w16cid:durableId="550112542">
    <w:abstractNumId w:val="28"/>
  </w:num>
  <w:num w:numId="31" w16cid:durableId="1736466177">
    <w:abstractNumId w:val="25"/>
  </w:num>
  <w:num w:numId="32" w16cid:durableId="280385660">
    <w:abstractNumId w:val="20"/>
  </w:num>
  <w:num w:numId="33" w16cid:durableId="981617863">
    <w:abstractNumId w:val="30"/>
  </w:num>
  <w:num w:numId="34" w16cid:durableId="1913150918">
    <w:abstractNumId w:val="14"/>
  </w:num>
  <w:num w:numId="35" w16cid:durableId="2048289712">
    <w:abstractNumId w:val="12"/>
  </w:num>
  <w:num w:numId="36" w16cid:durableId="1171486525">
    <w:abstractNumId w:val="36"/>
  </w:num>
  <w:num w:numId="37" w16cid:durableId="1258097089">
    <w:abstractNumId w:val="24"/>
  </w:num>
  <w:num w:numId="38" w16cid:durableId="899294452">
    <w:abstractNumId w:val="31"/>
  </w:num>
  <w:num w:numId="39" w16cid:durableId="1632204940">
    <w:abstractNumId w:val="41"/>
  </w:num>
  <w:num w:numId="40" w16cid:durableId="528839170">
    <w:abstractNumId w:val="13"/>
  </w:num>
  <w:num w:numId="41" w16cid:durableId="987174945">
    <w:abstractNumId w:val="11"/>
  </w:num>
  <w:num w:numId="42" w16cid:durableId="81206467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2E91"/>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2E5"/>
    <w:rsid w:val="000925FD"/>
    <w:rsid w:val="00096BF9"/>
    <w:rsid w:val="000A1353"/>
    <w:rsid w:val="000A175A"/>
    <w:rsid w:val="000A36B8"/>
    <w:rsid w:val="000A4BFA"/>
    <w:rsid w:val="000B07F1"/>
    <w:rsid w:val="000B1DBC"/>
    <w:rsid w:val="000B29F3"/>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104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4950"/>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902"/>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BAE"/>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19B4"/>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A85"/>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52D4"/>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475BC"/>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1FD9"/>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A729C"/>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3297"/>
    <w:rsid w:val="00C5434A"/>
    <w:rsid w:val="00C600BD"/>
    <w:rsid w:val="00C60947"/>
    <w:rsid w:val="00C622CD"/>
    <w:rsid w:val="00C64FF9"/>
    <w:rsid w:val="00C66F3D"/>
    <w:rsid w:val="00C67D12"/>
    <w:rsid w:val="00C71D60"/>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169A"/>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649"/>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486B"/>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094495C0"/>
    <w:rsid w:val="12AB46C3"/>
    <w:rsid w:val="2EE30E94"/>
    <w:rsid w:val="3FECF551"/>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RBI5PAMIO524-1616901215-17628</_dlc_DocId>
    <_dlc_DocIdUrl xmlns="71c5aaf6-e6ce-465b-b873-5148d2a4c105">
      <Url>https://nokia.sharepoint.com/sites/gxp/_layouts/15/DocIdRedir.aspx?ID=RBI5PAMIO524-1616901215-17628</Url>
      <Description>RBI5PAMIO524-1616901215-17628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3C51ED58-C22E-48C1-BFB2-B7EB59A2E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ABAE44-FCAF-485E-8148-A23B2C9C51A4}">
  <ds:schemaRefs>
    <ds:schemaRef ds:uri="Microsoft.SharePoint.Taxonomy.ContentTypeSync"/>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SON enhancements for NTN deployments</dc:title>
  <dc:subject>3GPP RAN3 #123-bis</dc:subject>
  <dc:creator>Benoist Sébire</dc:creator>
  <cp:keywords>&lt;keyword[, keyword, ]&gt;</cp:keywords>
  <dc:description/>
  <cp:lastModifiedBy>Nokia</cp:lastModifiedBy>
  <cp:revision>5</cp:revision>
  <cp:lastPrinted>2019-03-27T07:16:00Z</cp:lastPrinted>
  <dcterms:created xsi:type="dcterms:W3CDTF">2024-03-28T16:09:00Z</dcterms:created>
  <dcterms:modified xsi:type="dcterms:W3CDTF">2024-04-08T09:36:00Z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0fcba065-4be7-4635-a608-634348329902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